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extBody"/>
        <w:bidi w:val="0"/>
        <w:jc w:val="right"/>
        <w:rPr/>
      </w:pPr>
      <w:r>
        <w:rPr/>
        <w:t>                                                                                                           </w:t>
      </w:r>
      <w:r>
        <w:rPr/>
        <w:t xml:space="preserve">Приложение №1   </w:t>
      </w:r>
    </w:p>
    <w:p>
      <w:pPr>
        <w:pStyle w:val="TextBody"/>
        <w:bidi w:val="0"/>
        <w:jc w:val="center"/>
        <w:rPr/>
      </w:pPr>
      <w:r>
        <w:rPr>
          <w:b/>
        </w:rPr>
        <w:t>Квалификационные требования к потенциальным инвесторам.</w:t>
      </w:r>
      <w:r>
        <w:rPr/>
        <w:t xml:space="preserve">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Квалификационные требования для заявителей на конкурс по отбору потенциальных инвесторов: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1.Наличие государственной регистрации индивидуального предпринимателя, юридического лица и членов консорциума (при консорциальном соглашении) </w:t>
        <w:br/>
        <w:t xml:space="preserve">не менее 6 месяцев, предшествующих дате подачи заявки. При этом допускается, чтобы совокупный срок регистрации участников консорциума соответствовал требованию, если хотя бы один из них зарегистрирован не менее 6 месяцев;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2.Отсутствие текущих процедур банкротства и/или ликвидации, реабилитации. Инвестор на момент подачи заявки не является стороной в судебных разбирательствах, за исключением случаев, не препятствующих исполнению им обязательств по проекту; не является ответчиком по неисполненным судебным решениям, на инвестора и его имущество не имеется исполнительного производства. Инвестор и его руководители, учредители не включены в перечень организаций и лиц, связанных с финансированием терроризма и экстремизма;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3.Безубыточная деятельность за последние 2 года и последний отчетный период потенциального инвестора или его дочернего, аффилированного предприятия, предшествующие дате подачи заявки, согласно финансовой отчетности. В случае срока регистрации юридического лица менее 2 лет обеспечить документами показывающий безубыточной деятельность за весь период с момента его регистрации. Подтверждение безубыточности может осуществляться в совокупности по итогам всех указанных периодов;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4.Отсутствие просроченной задолженности по налогам и иным обязательным платежам, а также просроченной задолженности перед финансовыми организациями;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5.Предоставление гарантийного обеспечения в размере 1 200 МРП, утвержденного на соответствующий год. Гарантийное обеспечение перечисляется на банковский счет Общества, и может быть возвращено, если потенциальный инвестор отказался от дальнейшего участия. При признании потенциального инвестора победителем и заключении договорных отношений с Обществом, гарантийный взнос подлежит возврату после исполнения всех обязательств инвестора перед Обществом по Проекту.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6.Наличие бизнес-плана и финансовой модели совместного инвестиционного проекта;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7.Наличие концепции совместного инвестиционного проекта, которая должна включать четкое описание целей, функциональности, планируемой деятельности, ожидаемого социального эффекта;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8.Наличие предварительного эскизного проекта (дизайн-макета) цифрового табло и предварительной сметы монтажно-строительных и пусконаладочных работ; 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9.Документально подтвержденное наличие собственных или заемных средств в том числе, но не ограничиваясь предоставлением банковской гарантии, договором финансирования третьей стороной (с подтверждением наличия средств) для реализации Проекта, в сумме не менее указанной в бизнес-плане. </w:t>
      </w:r>
    </w:p>
    <w:sectPr>
      <w:type w:val="nextPage"/>
      <w:pgSz w:w="11906" w:h="16838"/>
      <w:pgMar w:left="1134" w:right="567" w:header="0" w:top="567" w:footer="0" w:bottom="567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Times New Roman">
    <w:charset w:val="00"/>
    <w:family w:val="auto"/>
    <w:pitch w:val="default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Droid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Times New Roman" w:hAnsi="Times New Roman" w:eastAsia="Times New Roman" w:cs="Times New Roman"/>
      <w:color w:val="auto"/>
      <w:sz w:val="24"/>
      <w:szCs w:val="24"/>
      <w:lang w:val="en-US" w:eastAsia="zh-CN" w:bidi="hi-IN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DejaVu Sans" w:cs="Droid Sans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20"/>
    </w:pPr>
    <w:rPr/>
  </w:style>
  <w:style w:type="paragraph" w:styleId="List">
    <w:name w:val="List"/>
    <w:basedOn w:val="TextBody"/>
    <w:pPr/>
    <w:rPr>
      <w:rFonts w:cs="Droid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Droid Sans Devanagari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LibreOffice/7.1.8.1$Linux_X86_64 LibreOffice_project/10$Build-1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