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Квалификационные требования к потенциальным инвесторам. 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Квалификационные требования для первого этапа конкурса по отбору потенциальных инвесторов: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Наличие государственной регистрации индивидуального предпринимателя, юридического лица и членов консорциума (при консорциальном соглашении) не менее 6 (шесть) месяцев, предшествующих дате подачи заявки;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Безубыточная деятельность за последние 2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(двух) лет — безубыточной деятельность за весь период с момента его регистрации;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Отсутствие просроченной задолженности по налогам и иным обязательным платежам, а также просроченной задолженности перед финансовыми организациями; 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 xml:space="preserve">Предоставление гарантийного обеспечения в размере 600 (шестьсот) МРП, утвержденного на соответствующий год. Гарантийное обеспечение перечисляется на банковский счет Общества, и может быть возвращено, если потенциальный инвестор не прошел второй этап или отказался от дальнейшего участия. При признании потенциального инвестора победителем и заключении договорных отношений с Обществом, гарантийный взнос подлежит возврату после исполнения всех обязательств инвестора перед Обществом по Проекту. 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spacing w:before="0" w:after="0"/>
        <w:ind w:left="707" w:hanging="283"/>
        <w:jc w:val="left"/>
        <w:rPr/>
      </w:pPr>
      <w:r>
        <w:rPr/>
        <w:t xml:space="preserve">Квалификационные требования для допущенных потенциальных инвесторов ко второму этапу конкурса: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Наличие бизнес-плана и финансовой модели совместного инвестиционного проекта;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Наличие эскизного проекта;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0"/>
        <w:ind w:left="1414" w:hanging="283"/>
        <w:jc w:val="left"/>
        <w:rPr/>
      </w:pPr>
      <w:r>
        <w:rPr/>
        <w:t xml:space="preserve">Назначение помещений строго ограничено целями, предусмотренными в проектной документации, т.е. пункты выдачи заказов. Использование объектов допускается исключительно в рамках логистической, курьерской и сопутствующей деятельности, соответствующей согласованной концепции проекта; </w:t>
      </w:r>
    </w:p>
    <w:p>
      <w:pPr>
        <w:pStyle w:val="TextBody"/>
        <w:numPr>
          <w:ilvl w:val="1"/>
          <w:numId w:val="3"/>
        </w:numPr>
        <w:tabs>
          <w:tab w:val="clear" w:pos="709"/>
          <w:tab w:val="left" w:pos="1414" w:leader="none"/>
        </w:tabs>
        <w:bidi w:val="0"/>
        <w:spacing w:before="0" w:after="120"/>
        <w:ind w:left="1414" w:hanging="283"/>
        <w:jc w:val="left"/>
        <w:rPr/>
      </w:pPr>
      <w:r>
        <w:rPr/>
        <w:t xml:space="preserve">Наличие собственных или заемных средств в размере не менее 100% от суммы предполагаемых инвестиций согласно заявке, в т.ч. на приобретение/производство оборудования, подготовительные работы, СМР и исполнение технических условий по подключению к инженерным сетям (под ключ).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