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№1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Квалификационные требования к потенциальным инвесторам.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Квалификационные требования для заявителей на первый этап конкурса по отбору потенциальных инвесторов: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Наличие государственной регистрации индивидуального предпринимателя, юридического лица и членов консорциума (при консорциальном соглашении) не менее 6 (шесть) месяцев, предшествующих дате подачи заявки;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Безубыточная деятельность за последние 2 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2 (двух) лет — безубыточной деятельность за весь период с момента его регистрации;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Отсутствие просроченной задолженности по налогам и иным обязательным платежам, а также просроченной задолженности перед финансовыми организациями;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Предоставление гарантийного обеспечения в размере 10 000 МРП, утвержденного на соответствующий год. Гарантийное обеспечение перечисляется на банковский счет Общества, и может быть возвращено, если потенциальный инвестор не прошел второй этап или отказался от дальнейшего участия. При признании потенциального инвестора победителем и заключении договорных отношений с Обществом, гарантийный взнос подлежит возврату после исполнения всех обязательств инвестора перед Обществом по Проекту.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Квалификационные требования для заявителей на второй этап конкурса по отбору потенциальных инвесторов: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Наличие бизнес-плана и финансовой модели совместного инвестиционного проекта;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Наличие эскизного проекта;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Помещение должно быть использовано для создания пространства, ориентированного на развитие креативных индустрий (арт-пространства, галереи, мастерские и т.д.), продвижение туризма (туристические центры, информационные бюро, музейные площадки и пр.), а также развитие IT-направлений (коворкинги, стартап-центры, инкубаторы, образовательные платформы и т.д.);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120"/>
        <w:ind w:left="1414" w:hanging="283"/>
        <w:jc w:val="left"/>
        <w:rPr/>
      </w:pPr>
      <w:r>
        <w:rPr/>
        <w:t xml:space="preserve">Документально подтвержденное наличие собственных или заемных средств для реализации Проекта, в сумме не менее указанной в бизнес-плане, а также не менее рыночной стоимости объекта оценки, отраженной в отчете независимой оценочной компании и суммы на ремонт/реконструкцию согласно приложениям к отчету.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