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bidi w:val="0"/>
        <w:jc w:val="left"/>
        <w:rPr/>
      </w:pPr>
      <w:r>
        <w:rPr/>
        <w:t xml:space="preserve">Приложение №1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>
          <w:rStyle w:val="StrongEmphasis"/>
        </w:rPr>
        <w:t>Квалификационные требования к потенциальным инвесторам.</w:t>
      </w:r>
      <w:r>
        <w:rPr/>
        <w:t xml:space="preserve">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1. Квалификационные требования для заявителей на конкурс по отбору потенциальных инвесторов: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1.1. Наличие государственной регистрации индивидуального предпринимателя, юридического лица и членов консорциума (при консорциальном соглашении) не менее 6 месяцев, предшествующих дате подачи заявки; 1.2. Отсутствие текущих процедур банкротства и/или ликвидации, реабилитации. Инвестор на момент подачи заявки не является стороной в судебных разбирательствах, на инвестора и его имущество не имеется исполнительного производства. Инвестор и его руководители, учредители не включены в перечень организаций и лиц, связанных с финансированием терроризма и экстремизма; 1.3. Безубыточная деятельность за последние 2 года и последний отчетный период потенциального инвестора или его дочернего, аффилированного предприятия, предшествующие дате подачи заявки, согласно финансовой отчетности. В случае срока регистрации юридического лица менее 2 лет обеспечить документами показывающий безубыточной деятельность за весь период с момента его регистрации; 1.4. Отсутствие просроченной задолженности по налогам и иным обязательным платежам, а также просроченной задолженности перед финансовыми организациями; 1.5. Предоставление гарантийного обеспечения в размере 10 000 МРП, утвержденного на соответствующий год. Гарантийное обеспечение перечисляется на банковский счет Общества, и может быть возвращено, если потенциальный инвестор отказался от дальнейшего участия. При признании потенциального инвестора победителем и заключении договорных отношений с Обществом, гарантийный взнос подлежит возврату после исполнения всех обязательств инвестора перед Обществом по Проекту. 1.6. Наличие бизнес-плана и финансовой модели совместного инвестиционного проекта; 1.7. Наличие концепции совместного инвестиционного проекта, которая должна включать четкое описание целей, функциональности, планируемой деятельности, ожидаемого социального эффекта; 1.8. Наличие предварительного эскизного проекта помещений и предварительной сметы строительных работ; </w:t>
      </w:r>
    </w:p>
    <w:p>
      <w:pPr>
        <w:pStyle w:val="TextBody"/>
        <w:bidi w:val="0"/>
        <w:spacing w:lineRule="auto" w:line="276" w:before="0" w:after="120"/>
        <w:jc w:val="left"/>
        <w:rPr/>
      </w:pPr>
      <w:r>
        <w:rPr/>
        <w:t xml:space="preserve">2. Документально подтвержденное наличие собственныхили заемных средств для реализации Проекта, в сумме не менее указанной в бизнес-плане, а также собственных средств не менее оценочной стоимости Земельного участка, с учетом инвестиционного дохода (вознаграждения) Общества в размере не менее базовой ставки рефинансирования Национального Банка РК на дату передачи Земельного участка, согласно отчету независимой оценочной компанией ИП «ARDANA» №39 от 30 апреля 2025 года и не менее 30% от стоимости Проекта, согласно представленной предварительной смете. </w:t>
      </w:r>
    </w:p>
    <w:sectPr>
      <w:type w:val="nextPage"/>
      <w:pgSz w:w="11906" w:h="16838"/>
      <w:pgMar w:left="1134" w:right="567" w:header="0" w:top="567" w:footer="0" w:bottom="567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roid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eastAsia="zh-CN" w:bidi="hi-IN"/>
    </w:rPr>
  </w:style>
  <w:style w:type="character" w:styleId="StrongEmphasis">
    <w:name w:val="Strong Emphasis"/>
    <w:qFormat/>
    <w:rPr>
      <w:b/>
      <w:bCs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roid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20"/>
    </w:pPr>
    <w:rPr/>
  </w:style>
  <w:style w:type="paragraph" w:styleId="List">
    <w:name w:val="List"/>
    <w:basedOn w:val="TextBody"/>
    <w:pPr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LibreOffice/7.1.8.1$Linux_X86_64 LibreOffice_project/10$Build-1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